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63" w:rsidRPr="004F6363" w:rsidRDefault="004F6363" w:rsidP="004F6363">
      <w:pPr>
        <w:spacing w:after="0" w:line="240" w:lineRule="auto"/>
        <w:jc w:val="center"/>
        <w:rPr>
          <w:rFonts w:ascii="Times New Roman" w:eastAsia="Times New Roman" w:hAnsi="Times New Roman" w:cs="Times New Roman"/>
          <w:b/>
          <w:bCs/>
          <w:color w:val="000000"/>
          <w:sz w:val="27"/>
          <w:szCs w:val="27"/>
        </w:rPr>
      </w:pPr>
      <w:r w:rsidRPr="004F6363">
        <w:rPr>
          <w:rFonts w:ascii="Times New Roman" w:eastAsia="Times New Roman" w:hAnsi="Times New Roman" w:cs="Times New Roman"/>
          <w:b/>
          <w:bCs/>
          <w:color w:val="000000"/>
          <w:sz w:val="27"/>
          <w:szCs w:val="27"/>
        </w:rPr>
        <w:t>Alonso de Villegas, </w:t>
      </w:r>
      <w:r w:rsidRPr="004F6363">
        <w:rPr>
          <w:rFonts w:ascii="Times New Roman" w:eastAsia="Times New Roman" w:hAnsi="Times New Roman" w:cs="Times New Roman"/>
          <w:b/>
          <w:bCs/>
          <w:i/>
          <w:iCs/>
          <w:color w:val="000000"/>
          <w:sz w:val="27"/>
          <w:szCs w:val="27"/>
        </w:rPr>
        <w:t>Fructus Sanctorum y quinta parte del Flos Sanctorum</w:t>
      </w:r>
      <w:r w:rsidRPr="004F6363">
        <w:rPr>
          <w:rFonts w:ascii="Times New Roman" w:eastAsia="Times New Roman" w:hAnsi="Times New Roman" w:cs="Times New Roman"/>
          <w:b/>
          <w:bCs/>
          <w:color w:val="000000"/>
          <w:sz w:val="27"/>
          <w:szCs w:val="27"/>
        </w:rPr>
        <w:t>, Cuenca, Juan Masselin, 1594</w:t>
      </w:r>
    </w:p>
    <w:p w:rsidR="004F6363" w:rsidRPr="004F6363" w:rsidRDefault="004F6363" w:rsidP="004F6363">
      <w:pPr>
        <w:spacing w:after="0" w:line="240" w:lineRule="auto"/>
        <w:jc w:val="center"/>
        <w:rPr>
          <w:rFonts w:ascii="Times New Roman" w:eastAsia="Times New Roman" w:hAnsi="Times New Roman" w:cs="Times New Roman"/>
          <w:b/>
          <w:bCs/>
          <w:color w:val="000000"/>
          <w:sz w:val="27"/>
          <w:szCs w:val="27"/>
          <w:lang w:val="en-US"/>
        </w:rPr>
      </w:pPr>
      <w:r w:rsidRPr="004F6363">
        <w:rPr>
          <w:rFonts w:ascii="Times New Roman" w:eastAsia="Times New Roman" w:hAnsi="Times New Roman" w:cs="Times New Roman"/>
          <w:b/>
          <w:bCs/>
          <w:color w:val="000000"/>
          <w:sz w:val="27"/>
          <w:szCs w:val="27"/>
          <w:lang w:val="en-US"/>
        </w:rPr>
        <w:pict>
          <v:rect id="_x0000_i1025" style="width:0;height:1.5pt" o:hralign="center" o:hrstd="t" o:hr="t" fillcolor="#a0a0a0" stroked="f"/>
        </w:pict>
      </w:r>
    </w:p>
    <w:p w:rsidR="004F6363" w:rsidRPr="004F6363" w:rsidRDefault="004F6363" w:rsidP="004F636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Edición de José Aragüés Aldaz (Universidad de Zaragoza)</w:t>
      </w:r>
      <w:r w:rsidRPr="004F6363">
        <w:rPr>
          <w:rFonts w:ascii="Times New Roman" w:eastAsia="Times New Roman" w:hAnsi="Times New Roman" w:cs="Times New Roman"/>
          <w:color w:val="000000"/>
          <w:sz w:val="27"/>
          <w:szCs w:val="27"/>
        </w:rPr>
        <w:br/>
      </w:r>
      <w:r w:rsidRPr="004F6363">
        <w:rPr>
          <w:rFonts w:ascii="Times New Roman" w:eastAsia="Times New Roman" w:hAnsi="Times New Roman" w:cs="Times New Roman"/>
          <w:b/>
          <w:bCs/>
          <w:color w:val="000000"/>
          <w:sz w:val="27"/>
          <w:szCs w:val="27"/>
        </w:rPr>
        <w:t>8/9/97</w:t>
      </w:r>
    </w:p>
    <w:p w:rsidR="004F6363" w:rsidRPr="004F6363" w:rsidRDefault="004F6363" w:rsidP="004F6363">
      <w:pPr>
        <w:spacing w:after="0" w:line="240" w:lineRule="auto"/>
        <w:jc w:val="center"/>
        <w:rPr>
          <w:rFonts w:ascii="Times New Roman" w:eastAsia="Times New Roman" w:hAnsi="Times New Roman" w:cs="Times New Roman"/>
          <w:color w:val="000000"/>
          <w:sz w:val="27"/>
          <w:szCs w:val="27"/>
          <w:lang w:val="en-US"/>
        </w:rPr>
      </w:pPr>
      <w:r w:rsidRPr="004F6363">
        <w:rPr>
          <w:rFonts w:ascii="Times New Roman" w:eastAsia="Times New Roman" w:hAnsi="Times New Roman" w:cs="Times New Roman"/>
          <w:color w:val="000000"/>
          <w:sz w:val="27"/>
          <w:szCs w:val="27"/>
          <w:lang w:val="en-US"/>
        </w:rPr>
        <w:pict>
          <v:rect id="_x0000_i1026" style="width:0;height:1.5pt" o:hralign="center" o:hrstd="t" o:hr="t" fillcolor="#a0a0a0" stroked="f"/>
        </w:pict>
      </w:r>
    </w:p>
    <w:p w:rsidR="004F6363" w:rsidRPr="004F6363" w:rsidRDefault="004F6363" w:rsidP="004F636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Presentación</w:t>
      </w:r>
    </w:p>
    <w:p w:rsidR="004F6363" w:rsidRPr="004F6363" w:rsidRDefault="004F6363" w:rsidP="004F6363">
      <w:pPr>
        <w:spacing w:after="0"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color w:val="000000"/>
          <w:sz w:val="27"/>
          <w:szCs w:val="27"/>
        </w:rPr>
        <w:t>El </w:t>
      </w:r>
      <w:r w:rsidRPr="004F6363">
        <w:rPr>
          <w:rFonts w:ascii="Times New Roman" w:eastAsia="Times New Roman" w:hAnsi="Times New Roman" w:cs="Times New Roman"/>
          <w:i/>
          <w:iCs/>
          <w:color w:val="000000"/>
          <w:sz w:val="27"/>
          <w:szCs w:val="27"/>
        </w:rPr>
        <w:t>Fructus Sanctorum</w:t>
      </w:r>
      <w:r w:rsidRPr="004F6363">
        <w:rPr>
          <w:rFonts w:ascii="Times New Roman" w:eastAsia="Times New Roman" w:hAnsi="Times New Roman" w:cs="Times New Roman"/>
          <w:color w:val="000000"/>
          <w:sz w:val="27"/>
          <w:szCs w:val="27"/>
        </w:rPr>
        <w:t> de Alonso de Villegas (Toledo, 1533-1603) es la más extensa colección de </w:t>
      </w:r>
      <w:r w:rsidRPr="004F6363">
        <w:rPr>
          <w:rFonts w:ascii="Times New Roman" w:eastAsia="Times New Roman" w:hAnsi="Times New Roman" w:cs="Times New Roman"/>
          <w:i/>
          <w:iCs/>
          <w:color w:val="000000"/>
          <w:sz w:val="27"/>
          <w:szCs w:val="27"/>
        </w:rPr>
        <w:t>exempla</w:t>
      </w:r>
      <w:r w:rsidRPr="004F6363">
        <w:rPr>
          <w:rFonts w:ascii="Times New Roman" w:eastAsia="Times New Roman" w:hAnsi="Times New Roman" w:cs="Times New Roman"/>
          <w:color w:val="000000"/>
          <w:sz w:val="27"/>
          <w:szCs w:val="27"/>
        </w:rPr>
        <w:t> de la literatura española, y constituye la quinta y penúltima entrega del magno </w:t>
      </w:r>
      <w:r w:rsidRPr="004F6363">
        <w:rPr>
          <w:rFonts w:ascii="Times New Roman" w:eastAsia="Times New Roman" w:hAnsi="Times New Roman" w:cs="Times New Roman"/>
          <w:i/>
          <w:iCs/>
          <w:color w:val="000000"/>
          <w:sz w:val="27"/>
          <w:szCs w:val="27"/>
        </w:rPr>
        <w:t>Flos Sanctorum</w:t>
      </w:r>
      <w:r w:rsidRPr="004F6363">
        <w:rPr>
          <w:rFonts w:ascii="Times New Roman" w:eastAsia="Times New Roman" w:hAnsi="Times New Roman" w:cs="Times New Roman"/>
          <w:color w:val="000000"/>
          <w:sz w:val="27"/>
          <w:szCs w:val="27"/>
        </w:rPr>
        <w:t>. Una obra esta última nacida como Santoral castellano renovado a partir de los decretos tridentinos, pero ampliada, al hilo del éxito editorial de sus tres primeros volúmenes, para acoger la producción sermonística y ejemplar del autor. El </w:t>
      </w:r>
      <w:r w:rsidRPr="004F6363">
        <w:rPr>
          <w:rFonts w:ascii="Times New Roman" w:eastAsia="Times New Roman" w:hAnsi="Times New Roman" w:cs="Times New Roman"/>
          <w:i/>
          <w:iCs/>
          <w:color w:val="000000"/>
          <w:sz w:val="27"/>
          <w:szCs w:val="27"/>
        </w:rPr>
        <w:t>Fructus Sanctorum</w:t>
      </w:r>
      <w:r w:rsidRPr="004F6363">
        <w:rPr>
          <w:rFonts w:ascii="Times New Roman" w:eastAsia="Times New Roman" w:hAnsi="Times New Roman" w:cs="Times New Roman"/>
          <w:color w:val="000000"/>
          <w:sz w:val="27"/>
          <w:szCs w:val="27"/>
        </w:rPr>
        <w:t> incluye un total de tres mil seiscientas anécdotas, de origen y contenido harto diversos, de acuerdo con ese tono de «silva de varia lección» recomendado por Fray Luis de Granada al autor para su escritura. Las secuencias morales, con todo, se agrupan en torno a setenta y ocho rúbricas morales, divididas en tres secciones dedicadas respectivamente a la materia bíblica, a los ejemplos cristianos y a los paganos, según los criterios dispositivos más adecuados para una rápida consulta por parte del orador sacro o del lector curioso. Por todo ello, más allá de su fecunda aportación a la literatura moral en castellano, el texto puede ilustrar esa tensión entre variedad y orden, entre abundancia y contención, que informa la historia de la preceptiva y de la escritura ejemplar desde sus orígenes. Su sola existencia, al fin, testimonia la pervivencia y vitalidad tardías de un género estudiado en demasiadas ocasiones tan sólo en relación con sus manifestaciones medievales.</w:t>
      </w:r>
    </w:p>
    <w:p w:rsidR="004F6363" w:rsidRPr="004F6363" w:rsidRDefault="004F6363" w:rsidP="004F6363">
      <w:pPr>
        <w:spacing w:after="0" w:line="240" w:lineRule="auto"/>
        <w:ind w:left="720"/>
        <w:rPr>
          <w:rFonts w:ascii="Times New Roman" w:eastAsia="Times New Roman" w:hAnsi="Times New Roman" w:cs="Times New Roman"/>
          <w:color w:val="000000"/>
          <w:sz w:val="27"/>
          <w:szCs w:val="27"/>
          <w:lang w:val="en-US"/>
        </w:rPr>
      </w:pPr>
      <w:r w:rsidRPr="004F6363">
        <w:rPr>
          <w:rFonts w:ascii="Times New Roman" w:eastAsia="Times New Roman" w:hAnsi="Times New Roman" w:cs="Times New Roman"/>
          <w:color w:val="000000"/>
          <w:sz w:val="27"/>
          <w:szCs w:val="27"/>
        </w:rPr>
        <w:t>Un análisis más exhaustivo de la obra que a continuación se edita fue abordado por el presente editor en su tesis doctoral (</w:t>
      </w:r>
      <w:r w:rsidRPr="004F6363">
        <w:rPr>
          <w:rFonts w:ascii="Times New Roman" w:eastAsia="Times New Roman" w:hAnsi="Times New Roman" w:cs="Times New Roman"/>
          <w:i/>
          <w:iCs/>
          <w:color w:val="000000"/>
          <w:sz w:val="27"/>
          <w:szCs w:val="27"/>
        </w:rPr>
        <w:t>El «Fructus Sanctorum» de Alonso de Villegas (1594). Estudio y edición del texto</w:t>
      </w:r>
      <w:r w:rsidRPr="004F6363">
        <w:rPr>
          <w:rFonts w:ascii="Times New Roman" w:eastAsia="Times New Roman" w:hAnsi="Times New Roman" w:cs="Times New Roman"/>
          <w:color w:val="000000"/>
          <w:sz w:val="27"/>
          <w:szCs w:val="27"/>
        </w:rPr>
        <w:t xml:space="preserve">), dirigida por María Jesús Lacarra y leída en la Universidad de Zaragoza en junio de 1993, que fue publicada en formato de microficha (Zaragoza, Servicio de Publicaciones de la Universidad, 1994; 8 págs. </w:t>
      </w:r>
      <w:r w:rsidRPr="004F6363">
        <w:rPr>
          <w:rFonts w:ascii="Times New Roman" w:eastAsia="Times New Roman" w:hAnsi="Times New Roman" w:cs="Times New Roman"/>
          <w:color w:val="000000"/>
          <w:sz w:val="27"/>
          <w:szCs w:val="27"/>
          <w:lang w:val="en-US"/>
        </w:rPr>
        <w:t xml:space="preserve">+ 8 </w:t>
      </w:r>
      <w:proofErr w:type="spellStart"/>
      <w:proofErr w:type="gramStart"/>
      <w:r w:rsidRPr="004F6363">
        <w:rPr>
          <w:rFonts w:ascii="Times New Roman" w:eastAsia="Times New Roman" w:hAnsi="Times New Roman" w:cs="Times New Roman"/>
          <w:color w:val="000000"/>
          <w:sz w:val="27"/>
          <w:szCs w:val="27"/>
          <w:lang w:val="en-US"/>
        </w:rPr>
        <w:t>micr</w:t>
      </w:r>
      <w:proofErr w:type="spellEnd"/>
      <w:r w:rsidRPr="004F6363">
        <w:rPr>
          <w:rFonts w:ascii="Times New Roman" w:eastAsia="Times New Roman" w:hAnsi="Times New Roman" w:cs="Times New Roman"/>
          <w:color w:val="000000"/>
          <w:sz w:val="27"/>
          <w:szCs w:val="27"/>
          <w:lang w:val="en-US"/>
        </w:rPr>
        <w:t>.=</w:t>
      </w:r>
      <w:proofErr w:type="gramEnd"/>
      <w:r w:rsidRPr="004F6363">
        <w:rPr>
          <w:rFonts w:ascii="Times New Roman" w:eastAsia="Times New Roman" w:hAnsi="Times New Roman" w:cs="Times New Roman"/>
          <w:color w:val="000000"/>
          <w:sz w:val="27"/>
          <w:szCs w:val="27"/>
          <w:lang w:val="en-US"/>
        </w:rPr>
        <w:t xml:space="preserve"> 2822 </w:t>
      </w:r>
      <w:proofErr w:type="spellStart"/>
      <w:r w:rsidRPr="004F6363">
        <w:rPr>
          <w:rFonts w:ascii="Times New Roman" w:eastAsia="Times New Roman" w:hAnsi="Times New Roman" w:cs="Times New Roman"/>
          <w:color w:val="000000"/>
          <w:sz w:val="27"/>
          <w:szCs w:val="27"/>
          <w:lang w:val="en-US"/>
        </w:rPr>
        <w:t>págs</w:t>
      </w:r>
      <w:proofErr w:type="spellEnd"/>
      <w:r w:rsidRPr="004F6363">
        <w:rPr>
          <w:rFonts w:ascii="Times New Roman" w:eastAsia="Times New Roman" w:hAnsi="Times New Roman" w:cs="Times New Roman"/>
          <w:color w:val="000000"/>
          <w:sz w:val="27"/>
          <w:szCs w:val="27"/>
          <w:lang w:val="en-US"/>
        </w:rPr>
        <w:t>.).</w:t>
      </w:r>
    </w:p>
    <w:p w:rsidR="004F6363" w:rsidRPr="004F6363" w:rsidRDefault="004F6363" w:rsidP="004F6363">
      <w:pPr>
        <w:spacing w:after="0" w:line="240" w:lineRule="auto"/>
        <w:ind w:left="720"/>
        <w:rPr>
          <w:rFonts w:ascii="Times New Roman" w:eastAsia="Times New Roman" w:hAnsi="Times New Roman" w:cs="Times New Roman"/>
          <w:color w:val="000000"/>
          <w:sz w:val="27"/>
          <w:szCs w:val="27"/>
          <w:lang w:val="en-US"/>
        </w:rPr>
      </w:pPr>
      <w:r w:rsidRPr="004F6363">
        <w:rPr>
          <w:rFonts w:ascii="Times New Roman" w:eastAsia="Times New Roman" w:hAnsi="Times New Roman" w:cs="Times New Roman"/>
          <w:color w:val="000000"/>
          <w:sz w:val="27"/>
          <w:szCs w:val="27"/>
          <w:lang w:val="en-US"/>
        </w:rPr>
        <w:pict>
          <v:rect id="_x0000_i1027" style="width:0;height:1.5pt" o:hralign="center" o:hrstd="t" o:hr="t" fillcolor="#a0a0a0" stroked="f"/>
        </w:pict>
      </w:r>
    </w:p>
    <w:p w:rsidR="004F6363" w:rsidRPr="004F6363" w:rsidRDefault="004F6363" w:rsidP="004F6363">
      <w:pPr>
        <w:spacing w:after="0" w:line="240" w:lineRule="auto"/>
        <w:ind w:left="720"/>
        <w:jc w:val="center"/>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Criterios de edición</w:t>
      </w:r>
    </w:p>
    <w:p w:rsidR="004F6363" w:rsidRPr="004F6363" w:rsidRDefault="004F6363" w:rsidP="004F6363">
      <w:pPr>
        <w:spacing w:after="0"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color w:val="000000"/>
          <w:sz w:val="27"/>
          <w:szCs w:val="27"/>
        </w:rPr>
        <w:t>Se ofrece a continuación la edición íntegra del ejemplario, a partir de la </w:t>
      </w:r>
      <w:r w:rsidRPr="004F6363">
        <w:rPr>
          <w:rFonts w:ascii="Times New Roman" w:eastAsia="Times New Roman" w:hAnsi="Times New Roman" w:cs="Times New Roman"/>
          <w:i/>
          <w:iCs/>
          <w:color w:val="000000"/>
          <w:sz w:val="27"/>
          <w:szCs w:val="27"/>
        </w:rPr>
        <w:t>princeps</w:t>
      </w:r>
      <w:r w:rsidRPr="004F6363">
        <w:rPr>
          <w:rFonts w:ascii="Times New Roman" w:eastAsia="Times New Roman" w:hAnsi="Times New Roman" w:cs="Times New Roman"/>
          <w:color w:val="000000"/>
          <w:sz w:val="27"/>
          <w:szCs w:val="27"/>
        </w:rPr>
        <w:t xml:space="preserve"> de Cuenca, por Juan Masselin, en 1594. El ejemplar localizado </w:t>
      </w:r>
      <w:r w:rsidRPr="004F6363">
        <w:rPr>
          <w:rFonts w:ascii="Times New Roman" w:eastAsia="Times New Roman" w:hAnsi="Times New Roman" w:cs="Times New Roman"/>
          <w:color w:val="000000"/>
          <w:sz w:val="27"/>
          <w:szCs w:val="27"/>
        </w:rPr>
        <w:lastRenderedPageBreak/>
        <w:t>en la Biblioteca Nacional de Madrid con la signatura </w:t>
      </w:r>
      <w:r w:rsidRPr="004F6363">
        <w:rPr>
          <w:rFonts w:ascii="Times New Roman" w:eastAsia="Times New Roman" w:hAnsi="Times New Roman" w:cs="Times New Roman"/>
          <w:b/>
          <w:bCs/>
          <w:color w:val="000000"/>
          <w:sz w:val="27"/>
          <w:szCs w:val="27"/>
        </w:rPr>
        <w:t>U-2378</w:t>
      </w:r>
      <w:r w:rsidRPr="004F6363">
        <w:rPr>
          <w:rFonts w:ascii="Times New Roman" w:eastAsia="Times New Roman" w:hAnsi="Times New Roman" w:cs="Times New Roman"/>
          <w:color w:val="000000"/>
          <w:sz w:val="27"/>
          <w:szCs w:val="27"/>
        </w:rPr>
        <w:t> presenta una primera emisión de la obra. Las variantes con respecto a la segunda emisión (representada por los ejemplares </w:t>
      </w:r>
      <w:r w:rsidRPr="004F6363">
        <w:rPr>
          <w:rFonts w:ascii="Times New Roman" w:eastAsia="Times New Roman" w:hAnsi="Times New Roman" w:cs="Times New Roman"/>
          <w:b/>
          <w:bCs/>
          <w:color w:val="000000"/>
          <w:sz w:val="27"/>
          <w:szCs w:val="27"/>
        </w:rPr>
        <w:t>B.N. R-32087</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b/>
          <w:bCs/>
          <w:color w:val="000000"/>
          <w:sz w:val="27"/>
          <w:szCs w:val="27"/>
        </w:rPr>
        <w:t>B.U.S. 53885</w:t>
      </w:r>
      <w:r w:rsidRPr="004F6363">
        <w:rPr>
          <w:rFonts w:ascii="Times New Roman" w:eastAsia="Times New Roman" w:hAnsi="Times New Roman" w:cs="Times New Roman"/>
          <w:color w:val="000000"/>
          <w:sz w:val="27"/>
          <w:szCs w:val="27"/>
        </w:rPr>
        <w:t> y </w:t>
      </w:r>
      <w:r w:rsidRPr="004F6363">
        <w:rPr>
          <w:rFonts w:ascii="Times New Roman" w:eastAsia="Times New Roman" w:hAnsi="Times New Roman" w:cs="Times New Roman"/>
          <w:b/>
          <w:bCs/>
          <w:color w:val="000000"/>
          <w:sz w:val="27"/>
          <w:szCs w:val="27"/>
        </w:rPr>
        <w:t>B.M.P.</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b/>
          <w:bCs/>
          <w:color w:val="000000"/>
          <w:sz w:val="27"/>
          <w:szCs w:val="27"/>
        </w:rPr>
        <w:t>XVI- 25</w:t>
      </w:r>
      <w:r w:rsidRPr="004F6363">
        <w:rPr>
          <w:rFonts w:ascii="Times New Roman" w:eastAsia="Times New Roman" w:hAnsi="Times New Roman" w:cs="Times New Roman"/>
          <w:color w:val="000000"/>
          <w:sz w:val="27"/>
          <w:szCs w:val="27"/>
        </w:rPr>
        <w:t>) afectan exclusivamente a la portada y preliminares. Reproduzco estos últimos según el ejemplar </w:t>
      </w:r>
      <w:r w:rsidRPr="004F6363">
        <w:rPr>
          <w:rFonts w:ascii="Times New Roman" w:eastAsia="Times New Roman" w:hAnsi="Times New Roman" w:cs="Times New Roman"/>
          <w:b/>
          <w:bCs/>
          <w:color w:val="000000"/>
          <w:sz w:val="27"/>
          <w:szCs w:val="27"/>
        </w:rPr>
        <w:t>U-2378</w:t>
      </w:r>
      <w:r w:rsidRPr="004F6363">
        <w:rPr>
          <w:rFonts w:ascii="Times New Roman" w:eastAsia="Times New Roman" w:hAnsi="Times New Roman" w:cs="Times New Roman"/>
          <w:color w:val="000000"/>
          <w:sz w:val="27"/>
          <w:szCs w:val="27"/>
        </w:rPr>
        <w:t>y añado en nota las variantes observadas en los mismos en la segunda emisión. Las ediciones de Barcelona (Sebastián de Cormella, 1594) y Cuenca (Luys Cano, 1604) poseen un interés menor. Si esta última fue llevada a cabo tras el fallecimiento del autor, el propio autor advirtió de la escasa fiabilidad de las ediciones realizadas fuera del Reino. Explicito a continuación las conservaciones, regularizaciones y modernizaciones a las que someto el texto.</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1.</w:t>
      </w:r>
      <w:r w:rsidRPr="004F6363">
        <w:rPr>
          <w:rFonts w:ascii="Times New Roman" w:eastAsia="Times New Roman" w:hAnsi="Times New Roman" w:cs="Times New Roman"/>
          <w:color w:val="000000"/>
          <w:sz w:val="27"/>
          <w:szCs w:val="27"/>
        </w:rPr>
        <w:t> Parece necesaria la conservación de las grafías correspondientes a la oposición entre los fonemas medievales, oposición desarticulada a lo largo del Siglo de Oro con una cronología variable en toda la península. Los textos del período final renacentista constituyen, al respecto, un testimonio de indudable valor para el lingüista en su deseo de establecer una cronología para la pervivencia, ciertamente muy restringida, de la distinción fonológica reseñada en zonas del centro (y particularmente en el habla toledana, muy conservadora) y sur peninsulares, en un momento de imposición de los usos lingüísticos de Castilla la Vieja, a través de la Corte madri leña, que tienden a la desaparición de dichos valores fonéticos</w:t>
      </w:r>
      <w:hyperlink r:id="rId4" w:anchor="1" w:tgtFrame="Notas" w:history="1">
        <w:r w:rsidRPr="004F6363">
          <w:rPr>
            <w:rFonts w:ascii="Times New Roman" w:eastAsia="Times New Roman" w:hAnsi="Times New Roman" w:cs="Times New Roman"/>
            <w:color w:val="0000FF"/>
            <w:sz w:val="27"/>
            <w:szCs w:val="27"/>
            <w:u w:val="single"/>
          </w:rPr>
          <w:t>(1)</w:t>
        </w:r>
      </w:hyperlink>
      <w:r w:rsidRPr="004F6363">
        <w:rPr>
          <w:rFonts w:ascii="Times New Roman" w:eastAsia="Times New Roman" w:hAnsi="Times New Roman" w:cs="Times New Roman"/>
          <w:color w:val="000000"/>
          <w:sz w:val="27"/>
          <w:szCs w:val="27"/>
        </w:rPr>
        <w:t>. Las peculiaridades lingüísticas del habla del centro peninsular, donde el texto fue redactado e impreso, aconsejaban obrar con cierta cautela en la modificación ortográfica del mismo. Se han conservado las grafías correspondientes a la oposición entre los fonemas dentoalveolar africado sordo (</w:t>
      </w:r>
      <w:r w:rsidRPr="004F6363">
        <w:rPr>
          <w:rFonts w:ascii="Times New Roman" w:eastAsia="Times New Roman" w:hAnsi="Times New Roman" w:cs="Times New Roman"/>
          <w:i/>
          <w:iCs/>
          <w:color w:val="000000"/>
          <w:sz w:val="27"/>
          <w:szCs w:val="27"/>
        </w:rPr>
        <w:t>c</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ç</w:t>
      </w:r>
      <w:r w:rsidRPr="004F6363">
        <w:rPr>
          <w:rFonts w:ascii="Times New Roman" w:eastAsia="Times New Roman" w:hAnsi="Times New Roman" w:cs="Times New Roman"/>
          <w:color w:val="000000"/>
          <w:sz w:val="27"/>
          <w:szCs w:val="27"/>
        </w:rPr>
        <w:t>) y dentoal veolar africado sonoro (</w:t>
      </w:r>
      <w:r w:rsidRPr="004F6363">
        <w:rPr>
          <w:rFonts w:ascii="Times New Roman" w:eastAsia="Times New Roman" w:hAnsi="Times New Roman" w:cs="Times New Roman"/>
          <w:i/>
          <w:iCs/>
          <w:color w:val="000000"/>
          <w:sz w:val="27"/>
          <w:szCs w:val="27"/>
        </w:rPr>
        <w:t>z</w:t>
      </w:r>
      <w:r w:rsidRPr="004F6363">
        <w:rPr>
          <w:rFonts w:ascii="Times New Roman" w:eastAsia="Times New Roman" w:hAnsi="Times New Roman" w:cs="Times New Roman"/>
          <w:color w:val="000000"/>
          <w:sz w:val="27"/>
          <w:szCs w:val="27"/>
        </w:rPr>
        <w:t>)</w:t>
      </w:r>
      <w:hyperlink r:id="rId5" w:anchor="2" w:tgtFrame="Notas" w:history="1">
        <w:r w:rsidRPr="004F6363">
          <w:rPr>
            <w:rFonts w:ascii="Times New Roman" w:eastAsia="Times New Roman" w:hAnsi="Times New Roman" w:cs="Times New Roman"/>
            <w:color w:val="0000FF"/>
            <w:sz w:val="27"/>
            <w:szCs w:val="27"/>
            <w:u w:val="single"/>
          </w:rPr>
          <w:t>(2)</w:t>
        </w:r>
      </w:hyperlink>
      <w:r w:rsidRPr="004F6363">
        <w:rPr>
          <w:rFonts w:ascii="Times New Roman" w:eastAsia="Times New Roman" w:hAnsi="Times New Roman" w:cs="Times New Roman"/>
          <w:color w:val="000000"/>
          <w:sz w:val="27"/>
          <w:szCs w:val="27"/>
        </w:rPr>
        <w:t>; apicoalveolar fricativo sordo (</w:t>
      </w:r>
      <w:r w:rsidRPr="004F6363">
        <w:rPr>
          <w:rFonts w:ascii="Times New Roman" w:eastAsia="Times New Roman" w:hAnsi="Times New Roman" w:cs="Times New Roman"/>
          <w:i/>
          <w:iCs/>
          <w:color w:val="000000"/>
          <w:sz w:val="27"/>
          <w:szCs w:val="27"/>
        </w:rPr>
        <w:t>s</w:t>
      </w:r>
      <w:r w:rsidRPr="004F6363">
        <w:rPr>
          <w:rFonts w:ascii="Times New Roman" w:eastAsia="Times New Roman" w:hAnsi="Times New Roman" w:cs="Times New Roman"/>
          <w:color w:val="000000"/>
          <w:sz w:val="27"/>
          <w:szCs w:val="27"/>
        </w:rPr>
        <w:t> inicial y </w:t>
      </w:r>
      <w:r w:rsidRPr="004F6363">
        <w:rPr>
          <w:rFonts w:ascii="Times New Roman" w:eastAsia="Times New Roman" w:hAnsi="Times New Roman" w:cs="Times New Roman"/>
          <w:i/>
          <w:iCs/>
          <w:color w:val="000000"/>
          <w:sz w:val="27"/>
          <w:szCs w:val="27"/>
        </w:rPr>
        <w:t>ss</w:t>
      </w:r>
      <w:r w:rsidRPr="004F6363">
        <w:rPr>
          <w:rFonts w:ascii="Times New Roman" w:eastAsia="Times New Roman" w:hAnsi="Times New Roman" w:cs="Times New Roman"/>
          <w:color w:val="000000"/>
          <w:sz w:val="27"/>
          <w:szCs w:val="27"/>
        </w:rPr>
        <w:t> intervocálica) y apicoalveolar fricativo sonoro (</w:t>
      </w:r>
      <w:r w:rsidRPr="004F6363">
        <w:rPr>
          <w:rFonts w:ascii="Times New Roman" w:eastAsia="Times New Roman" w:hAnsi="Times New Roman" w:cs="Times New Roman"/>
          <w:i/>
          <w:iCs/>
          <w:color w:val="000000"/>
          <w:sz w:val="27"/>
          <w:szCs w:val="27"/>
        </w:rPr>
        <w:t>s</w:t>
      </w:r>
      <w:r w:rsidRPr="004F6363">
        <w:rPr>
          <w:rFonts w:ascii="Times New Roman" w:eastAsia="Times New Roman" w:hAnsi="Times New Roman" w:cs="Times New Roman"/>
          <w:color w:val="000000"/>
          <w:sz w:val="27"/>
          <w:szCs w:val="27"/>
        </w:rPr>
        <w:t> intervocálica)</w:t>
      </w:r>
      <w:hyperlink r:id="rId6" w:anchor="3" w:tgtFrame="Notas" w:history="1">
        <w:r w:rsidRPr="004F6363">
          <w:rPr>
            <w:rFonts w:ascii="Times New Roman" w:eastAsia="Times New Roman" w:hAnsi="Times New Roman" w:cs="Times New Roman"/>
            <w:color w:val="0000FF"/>
            <w:sz w:val="27"/>
            <w:szCs w:val="27"/>
            <w:u w:val="single"/>
          </w:rPr>
          <w:t>(3)</w:t>
        </w:r>
      </w:hyperlink>
      <w:r w:rsidRPr="004F6363">
        <w:rPr>
          <w:rFonts w:ascii="Times New Roman" w:eastAsia="Times New Roman" w:hAnsi="Times New Roman" w:cs="Times New Roman"/>
          <w:color w:val="000000"/>
          <w:sz w:val="27"/>
          <w:szCs w:val="27"/>
        </w:rPr>
        <w:t>; prepalatal fricativo sordo (</w:t>
      </w:r>
      <w:r w:rsidRPr="004F6363">
        <w:rPr>
          <w:rFonts w:ascii="Times New Roman" w:eastAsia="Times New Roman" w:hAnsi="Times New Roman" w:cs="Times New Roman"/>
          <w:i/>
          <w:iCs/>
          <w:color w:val="000000"/>
          <w:sz w:val="27"/>
          <w:szCs w:val="27"/>
        </w:rPr>
        <w:t>x</w:t>
      </w:r>
      <w:r w:rsidRPr="004F6363">
        <w:rPr>
          <w:rFonts w:ascii="Times New Roman" w:eastAsia="Times New Roman" w:hAnsi="Times New Roman" w:cs="Times New Roman"/>
          <w:color w:val="000000"/>
          <w:sz w:val="27"/>
          <w:szCs w:val="27"/>
        </w:rPr>
        <w:t>) y prepalatal fricativo sonoro (</w:t>
      </w:r>
      <w:r w:rsidRPr="004F6363">
        <w:rPr>
          <w:rFonts w:ascii="Times New Roman" w:eastAsia="Times New Roman" w:hAnsi="Times New Roman" w:cs="Times New Roman"/>
          <w:i/>
          <w:iCs/>
          <w:color w:val="000000"/>
          <w:sz w:val="27"/>
          <w:szCs w:val="27"/>
        </w:rPr>
        <w:t>g</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j</w:t>
      </w:r>
      <w:r w:rsidRPr="004F6363">
        <w:rPr>
          <w:rFonts w:ascii="Times New Roman" w:eastAsia="Times New Roman" w:hAnsi="Times New Roman" w:cs="Times New Roman"/>
          <w:color w:val="000000"/>
          <w:sz w:val="27"/>
          <w:szCs w:val="27"/>
        </w:rPr>
        <w:t>)</w:t>
      </w:r>
      <w:hyperlink r:id="rId7" w:anchor="4" w:tgtFrame="Notas" w:history="1">
        <w:r w:rsidRPr="004F6363">
          <w:rPr>
            <w:rFonts w:ascii="Times New Roman" w:eastAsia="Times New Roman" w:hAnsi="Times New Roman" w:cs="Times New Roman"/>
            <w:color w:val="0000FF"/>
            <w:sz w:val="27"/>
            <w:szCs w:val="27"/>
            <w:u w:val="single"/>
          </w:rPr>
          <w:t>(4)</w:t>
        </w:r>
      </w:hyperlink>
      <w:r w:rsidRPr="004F6363">
        <w:rPr>
          <w:rFonts w:ascii="Times New Roman" w:eastAsia="Times New Roman" w:hAnsi="Times New Roman" w:cs="Times New Roman"/>
          <w:color w:val="000000"/>
          <w:sz w:val="27"/>
          <w:szCs w:val="27"/>
        </w:rPr>
        <w:t>; bilabial oclusivo sonoro (</w:t>
      </w:r>
      <w:r w:rsidRPr="004F6363">
        <w:rPr>
          <w:rFonts w:ascii="Times New Roman" w:eastAsia="Times New Roman" w:hAnsi="Times New Roman" w:cs="Times New Roman"/>
          <w:i/>
          <w:iCs/>
          <w:color w:val="000000"/>
          <w:sz w:val="27"/>
          <w:szCs w:val="27"/>
        </w:rPr>
        <w:t>b</w:t>
      </w:r>
      <w:r w:rsidRPr="004F6363">
        <w:rPr>
          <w:rFonts w:ascii="Times New Roman" w:eastAsia="Times New Roman" w:hAnsi="Times New Roman" w:cs="Times New Roman"/>
          <w:color w:val="000000"/>
          <w:sz w:val="27"/>
          <w:szCs w:val="27"/>
        </w:rPr>
        <w:t>) y bilabial (o labiodental) fricativo sonoro (</w:t>
      </w:r>
      <w:r w:rsidRPr="004F6363">
        <w:rPr>
          <w:rFonts w:ascii="Times New Roman" w:eastAsia="Times New Roman" w:hAnsi="Times New Roman" w:cs="Times New Roman"/>
          <w:i/>
          <w:iCs/>
          <w:color w:val="000000"/>
          <w:sz w:val="27"/>
          <w:szCs w:val="27"/>
        </w:rPr>
        <w:t>v</w:t>
      </w:r>
      <w:r w:rsidRPr="004F6363">
        <w:rPr>
          <w:rFonts w:ascii="Times New Roman" w:eastAsia="Times New Roman" w:hAnsi="Times New Roman" w:cs="Times New Roman"/>
          <w:color w:val="000000"/>
          <w:sz w:val="27"/>
          <w:szCs w:val="27"/>
        </w:rPr>
        <w:t>)</w:t>
      </w:r>
      <w:hyperlink r:id="rId8" w:anchor="5" w:tgtFrame="Notas" w:history="1">
        <w:r w:rsidRPr="004F6363">
          <w:rPr>
            <w:rFonts w:ascii="Times New Roman" w:eastAsia="Times New Roman" w:hAnsi="Times New Roman" w:cs="Times New Roman"/>
            <w:color w:val="0000FF"/>
            <w:sz w:val="27"/>
            <w:szCs w:val="27"/>
            <w:u w:val="single"/>
          </w:rPr>
          <w:t>(5)</w:t>
        </w:r>
      </w:hyperlink>
      <w:r w:rsidRPr="004F6363">
        <w:rPr>
          <w:rFonts w:ascii="Times New Roman" w:eastAsia="Times New Roman" w:hAnsi="Times New Roman" w:cs="Times New Roman"/>
          <w:color w:val="000000"/>
          <w:sz w:val="27"/>
          <w:szCs w:val="27"/>
        </w:rPr>
        <w:t>, así como la grafía </w:t>
      </w:r>
      <w:r w:rsidRPr="004F6363">
        <w:rPr>
          <w:rFonts w:ascii="Times New Roman" w:eastAsia="Times New Roman" w:hAnsi="Times New Roman" w:cs="Times New Roman"/>
          <w:i/>
          <w:iCs/>
          <w:color w:val="000000"/>
          <w:sz w:val="27"/>
          <w:szCs w:val="27"/>
        </w:rPr>
        <w:t>h</w:t>
      </w:r>
      <w:r w:rsidRPr="004F6363">
        <w:rPr>
          <w:rFonts w:ascii="Times New Roman" w:eastAsia="Times New Roman" w:hAnsi="Times New Roman" w:cs="Times New Roman"/>
          <w:color w:val="000000"/>
          <w:sz w:val="27"/>
          <w:szCs w:val="27"/>
        </w:rPr>
        <w:t> correspondiente al fonema aspirado</w:t>
      </w:r>
      <w:hyperlink r:id="rId9" w:anchor="6" w:tgtFrame="Notas" w:history="1">
        <w:r w:rsidRPr="004F6363">
          <w:rPr>
            <w:rFonts w:ascii="Times New Roman" w:eastAsia="Times New Roman" w:hAnsi="Times New Roman" w:cs="Times New Roman"/>
            <w:color w:val="0000FF"/>
            <w:sz w:val="27"/>
            <w:szCs w:val="27"/>
            <w:u w:val="single"/>
          </w:rPr>
          <w:t>(6)</w:t>
        </w:r>
      </w:hyperlink>
      <w:r w:rsidRPr="004F6363">
        <w:rPr>
          <w:rFonts w:ascii="Times New Roman" w:eastAsia="Times New Roman" w:hAnsi="Times New Roman" w:cs="Times New Roman"/>
          <w:color w:val="000000"/>
          <w:sz w:val="27"/>
          <w:szCs w:val="27"/>
        </w:rPr>
        <w:t>. Es obvio, de otro lado, que el texto ofrece variantes en la representación de dichos fonemas</w:t>
      </w:r>
      <w:hyperlink r:id="rId10" w:anchor="7" w:tgtFrame="Notas" w:history="1">
        <w:r w:rsidRPr="004F6363">
          <w:rPr>
            <w:rFonts w:ascii="Times New Roman" w:eastAsia="Times New Roman" w:hAnsi="Times New Roman" w:cs="Times New Roman"/>
            <w:color w:val="0000FF"/>
            <w:sz w:val="27"/>
            <w:szCs w:val="27"/>
            <w:u w:val="single"/>
          </w:rPr>
          <w:t>(7)</w:t>
        </w:r>
      </w:hyperlink>
      <w:r w:rsidRPr="004F6363">
        <w:rPr>
          <w:rFonts w:ascii="Times New Roman" w:eastAsia="Times New Roman" w:hAnsi="Times New Roman" w:cs="Times New Roman"/>
          <w:color w:val="000000"/>
          <w:sz w:val="27"/>
          <w:szCs w:val="27"/>
        </w:rPr>
        <w:t>, que contradicen en alguna ocasión la realidad fonológica y son índice de un intento de restauración cultista</w:t>
      </w:r>
      <w:hyperlink r:id="rId11" w:anchor="8" w:tgtFrame="Notas" w:history="1">
        <w:r w:rsidRPr="004F6363">
          <w:rPr>
            <w:rFonts w:ascii="Times New Roman" w:eastAsia="Times New Roman" w:hAnsi="Times New Roman" w:cs="Times New Roman"/>
            <w:color w:val="0000FF"/>
            <w:sz w:val="27"/>
            <w:szCs w:val="27"/>
            <w:u w:val="single"/>
          </w:rPr>
          <w:t>(8)</w:t>
        </w:r>
      </w:hyperlink>
      <w:r w:rsidRPr="004F6363">
        <w:rPr>
          <w:rFonts w:ascii="Times New Roman" w:eastAsia="Times New Roman" w:hAnsi="Times New Roman" w:cs="Times New Roman"/>
          <w:color w:val="000000"/>
          <w:sz w:val="27"/>
          <w:szCs w:val="27"/>
        </w:rPr>
        <w:t> o de costumbres ortográficas de la época o anteriores</w:t>
      </w:r>
      <w:hyperlink r:id="rId12" w:anchor="9" w:tgtFrame="Notas" w:history="1">
        <w:r w:rsidRPr="004F6363">
          <w:rPr>
            <w:rFonts w:ascii="Times New Roman" w:eastAsia="Times New Roman" w:hAnsi="Times New Roman" w:cs="Times New Roman"/>
            <w:color w:val="0000FF"/>
            <w:sz w:val="27"/>
            <w:szCs w:val="27"/>
            <w:u w:val="single"/>
          </w:rPr>
          <w:t>(9)</w:t>
        </w:r>
      </w:hyperlink>
      <w:r w:rsidRPr="004F6363">
        <w:rPr>
          <w:rFonts w:ascii="Times New Roman" w:eastAsia="Times New Roman" w:hAnsi="Times New Roman" w:cs="Times New Roman"/>
          <w:color w:val="000000"/>
          <w:sz w:val="27"/>
          <w:szCs w:val="27"/>
        </w:rPr>
        <w:t>, que conviven con algunas hipercorrecciones</w:t>
      </w:r>
      <w:hyperlink r:id="rId13" w:anchor="10" w:tgtFrame="Notas" w:history="1">
        <w:r w:rsidRPr="004F6363">
          <w:rPr>
            <w:rFonts w:ascii="Times New Roman" w:eastAsia="Times New Roman" w:hAnsi="Times New Roman" w:cs="Times New Roman"/>
            <w:color w:val="0000FF"/>
            <w:sz w:val="27"/>
            <w:szCs w:val="27"/>
            <w:u w:val="single"/>
          </w:rPr>
          <w:t>(10)</w:t>
        </w:r>
      </w:hyperlink>
      <w:r w:rsidRPr="004F6363">
        <w:rPr>
          <w:rFonts w:ascii="Times New Roman" w:eastAsia="Times New Roman" w:hAnsi="Times New Roman" w:cs="Times New Roman"/>
          <w:color w:val="000000"/>
          <w:sz w:val="27"/>
          <w:szCs w:val="27"/>
        </w:rPr>
        <w:t>. Una corrección sistemática del texto según criterios fonológicos resultaría en numerosos casos arbitraria, dada la vacilación lingüística de la época, por lo que hemos optado por el mantenimiento de las mencionadas grafías, a excepción de la </w:t>
      </w:r>
      <w:r w:rsidRPr="004F6363">
        <w:rPr>
          <w:rFonts w:ascii="Times New Roman" w:eastAsia="Times New Roman" w:hAnsi="Times New Roman" w:cs="Times New Roman"/>
          <w:i/>
          <w:iCs/>
          <w:color w:val="000000"/>
          <w:sz w:val="27"/>
          <w:szCs w:val="27"/>
        </w:rPr>
        <w:t>h</w:t>
      </w:r>
      <w:r w:rsidRPr="004F6363">
        <w:rPr>
          <w:rFonts w:ascii="Times New Roman" w:eastAsia="Times New Roman" w:hAnsi="Times New Roman" w:cs="Times New Roman"/>
          <w:color w:val="000000"/>
          <w:sz w:val="27"/>
          <w:szCs w:val="27"/>
        </w:rPr>
        <w:t xml:space="preserve"> inicial </w:t>
      </w:r>
      <w:r w:rsidRPr="004F6363">
        <w:rPr>
          <w:rFonts w:ascii="Times New Roman" w:eastAsia="Times New Roman" w:hAnsi="Times New Roman" w:cs="Times New Roman"/>
          <w:color w:val="000000"/>
          <w:sz w:val="27"/>
          <w:szCs w:val="27"/>
        </w:rPr>
        <w:lastRenderedPageBreak/>
        <w:t>etimológica, que regularizamos según su uso actual, en concordancia con lo observado en el caso de las consonantes sin pertinencia fonológica.</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2.</w:t>
      </w:r>
      <w:r w:rsidRPr="004F6363">
        <w:rPr>
          <w:rFonts w:ascii="Times New Roman" w:eastAsia="Times New Roman" w:hAnsi="Times New Roman" w:cs="Times New Roman"/>
          <w:color w:val="000000"/>
          <w:sz w:val="27"/>
          <w:szCs w:val="27"/>
        </w:rPr>
        <w:t> Se han modernizado, a este respecto, aquellas grafías cultas utilizadas en el texto que no poseen valor fonético (</w:t>
      </w:r>
      <w:r w:rsidRPr="004F6363">
        <w:rPr>
          <w:rFonts w:ascii="Times New Roman" w:eastAsia="Times New Roman" w:hAnsi="Times New Roman" w:cs="Times New Roman"/>
          <w:i/>
          <w:iCs/>
          <w:color w:val="000000"/>
          <w:sz w:val="27"/>
          <w:szCs w:val="27"/>
        </w:rPr>
        <w:t>ph</w:t>
      </w:r>
      <w:r w:rsidRPr="004F6363">
        <w:rPr>
          <w:rFonts w:ascii="Times New Roman" w:eastAsia="Times New Roman" w:hAnsi="Times New Roman" w:cs="Times New Roman"/>
          <w:color w:val="000000"/>
          <w:sz w:val="27"/>
          <w:szCs w:val="27"/>
        </w:rPr>
        <w:t>=</w:t>
      </w:r>
      <w:r w:rsidRPr="004F6363">
        <w:rPr>
          <w:rFonts w:ascii="Times New Roman" w:eastAsia="Times New Roman" w:hAnsi="Times New Roman" w:cs="Times New Roman"/>
          <w:i/>
          <w:iCs/>
          <w:color w:val="000000"/>
          <w:sz w:val="27"/>
          <w:szCs w:val="27"/>
        </w:rPr>
        <w:t>f</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ch</w:t>
      </w:r>
      <w:r w:rsidRPr="004F6363">
        <w:rPr>
          <w:rFonts w:ascii="Times New Roman" w:eastAsia="Times New Roman" w:hAnsi="Times New Roman" w:cs="Times New Roman"/>
          <w:color w:val="000000"/>
          <w:sz w:val="27"/>
          <w:szCs w:val="27"/>
        </w:rPr>
        <w:t>=</w:t>
      </w:r>
      <w:r w:rsidRPr="004F6363">
        <w:rPr>
          <w:rFonts w:ascii="Times New Roman" w:eastAsia="Times New Roman" w:hAnsi="Times New Roman" w:cs="Times New Roman"/>
          <w:i/>
          <w:iCs/>
          <w:color w:val="000000"/>
          <w:sz w:val="27"/>
          <w:szCs w:val="27"/>
        </w:rPr>
        <w:t>c</w:t>
      </w:r>
      <w:r w:rsidRPr="004F6363">
        <w:rPr>
          <w:rFonts w:ascii="Times New Roman" w:eastAsia="Times New Roman" w:hAnsi="Times New Roman" w:cs="Times New Roman"/>
          <w:color w:val="000000"/>
          <w:sz w:val="27"/>
          <w:szCs w:val="27"/>
        </w:rPr>
        <w:t>; consonantes dobles -</w:t>
      </w:r>
      <w:r w:rsidRPr="004F6363">
        <w:rPr>
          <w:rFonts w:ascii="Times New Roman" w:eastAsia="Times New Roman" w:hAnsi="Times New Roman" w:cs="Times New Roman"/>
          <w:i/>
          <w:iCs/>
          <w:color w:val="000000"/>
          <w:sz w:val="27"/>
          <w:szCs w:val="27"/>
        </w:rPr>
        <w:t>bb</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dd</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ll</w:t>
      </w:r>
      <w:r w:rsidRPr="004F6363">
        <w:rPr>
          <w:rFonts w:ascii="Times New Roman" w:eastAsia="Times New Roman" w:hAnsi="Times New Roman" w:cs="Times New Roman"/>
          <w:color w:val="000000"/>
          <w:sz w:val="27"/>
          <w:szCs w:val="27"/>
        </w:rPr>
        <w:t>-=-</w:t>
      </w:r>
      <w:r w:rsidRPr="004F6363">
        <w:rPr>
          <w:rFonts w:ascii="Times New Roman" w:eastAsia="Times New Roman" w:hAnsi="Times New Roman" w:cs="Times New Roman"/>
          <w:i/>
          <w:iCs/>
          <w:color w:val="000000"/>
          <w:sz w:val="27"/>
          <w:szCs w:val="27"/>
        </w:rPr>
        <w:t>l</w:t>
      </w:r>
      <w:r w:rsidRPr="004F6363">
        <w:rPr>
          <w:rFonts w:ascii="Times New Roman" w:eastAsia="Times New Roman" w:hAnsi="Times New Roman" w:cs="Times New Roman"/>
          <w:color w:val="000000"/>
          <w:sz w:val="27"/>
          <w:szCs w:val="27"/>
        </w:rPr>
        <w:t>-), pues no ofrecen regularidad alguna y conviven con sus equivalentes modernos en la edición manejada</w:t>
      </w:r>
      <w:hyperlink r:id="rId14" w:anchor="11" w:tgtFrame="Notas" w:history="1">
        <w:r w:rsidRPr="004F6363">
          <w:rPr>
            <w:rFonts w:ascii="Times New Roman" w:eastAsia="Times New Roman" w:hAnsi="Times New Roman" w:cs="Times New Roman"/>
            <w:color w:val="0000FF"/>
            <w:sz w:val="27"/>
            <w:szCs w:val="27"/>
            <w:u w:val="single"/>
          </w:rPr>
          <w:t>(11)</w:t>
        </w:r>
      </w:hyperlink>
      <w:r w:rsidRPr="004F6363">
        <w:rPr>
          <w:rFonts w:ascii="Times New Roman" w:eastAsia="Times New Roman" w:hAnsi="Times New Roman" w:cs="Times New Roman"/>
          <w:color w:val="000000"/>
          <w:sz w:val="27"/>
          <w:szCs w:val="27"/>
        </w:rPr>
        <w:t>.</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3.</w:t>
      </w:r>
      <w:r w:rsidRPr="004F6363">
        <w:rPr>
          <w:rFonts w:ascii="Times New Roman" w:eastAsia="Times New Roman" w:hAnsi="Times New Roman" w:cs="Times New Roman"/>
          <w:color w:val="000000"/>
          <w:sz w:val="27"/>
          <w:szCs w:val="27"/>
        </w:rPr>
        <w:t> En este mismo sentido, regularizo la vacilante presencia de </w:t>
      </w:r>
      <w:r w:rsidRPr="004F6363">
        <w:rPr>
          <w:rFonts w:ascii="Times New Roman" w:eastAsia="Times New Roman" w:hAnsi="Times New Roman" w:cs="Times New Roman"/>
          <w:i/>
          <w:iCs/>
          <w:color w:val="000000"/>
          <w:sz w:val="27"/>
          <w:szCs w:val="27"/>
        </w:rPr>
        <w:t>u</w:t>
      </w:r>
      <w:r w:rsidRPr="004F6363">
        <w:rPr>
          <w:rFonts w:ascii="Times New Roman" w:eastAsia="Times New Roman" w:hAnsi="Times New Roman" w:cs="Times New Roman"/>
          <w:color w:val="000000"/>
          <w:sz w:val="27"/>
          <w:szCs w:val="27"/>
        </w:rPr>
        <w:t> y </w:t>
      </w:r>
      <w:r w:rsidRPr="004F6363">
        <w:rPr>
          <w:rFonts w:ascii="Times New Roman" w:eastAsia="Times New Roman" w:hAnsi="Times New Roman" w:cs="Times New Roman"/>
          <w:i/>
          <w:iCs/>
          <w:color w:val="000000"/>
          <w:sz w:val="27"/>
          <w:szCs w:val="27"/>
        </w:rPr>
        <w:t>v</w:t>
      </w:r>
      <w:r w:rsidRPr="004F6363">
        <w:rPr>
          <w:rFonts w:ascii="Times New Roman" w:eastAsia="Times New Roman" w:hAnsi="Times New Roman" w:cs="Times New Roman"/>
          <w:color w:val="000000"/>
          <w:sz w:val="27"/>
          <w:szCs w:val="27"/>
        </w:rPr>
        <w:t>, con valores indistintos vocálicos y consonánticos, según criterios modernos. Idéntico criterio mantengo para los usos de </w:t>
      </w:r>
      <w:r w:rsidRPr="004F6363">
        <w:rPr>
          <w:rFonts w:ascii="Times New Roman" w:eastAsia="Times New Roman" w:hAnsi="Times New Roman" w:cs="Times New Roman"/>
          <w:i/>
          <w:iCs/>
          <w:color w:val="000000"/>
          <w:sz w:val="27"/>
          <w:szCs w:val="27"/>
        </w:rPr>
        <w:t>i</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j</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y</w:t>
      </w:r>
      <w:r w:rsidRPr="004F6363">
        <w:rPr>
          <w:rFonts w:ascii="Times New Roman" w:eastAsia="Times New Roman" w:hAnsi="Times New Roman" w:cs="Times New Roman"/>
          <w:color w:val="000000"/>
          <w:sz w:val="27"/>
          <w:szCs w:val="27"/>
        </w:rPr>
        <w:t>; esta última grafía se transcribe como </w:t>
      </w:r>
      <w:r w:rsidRPr="004F6363">
        <w:rPr>
          <w:rFonts w:ascii="Times New Roman" w:eastAsia="Times New Roman" w:hAnsi="Times New Roman" w:cs="Times New Roman"/>
          <w:i/>
          <w:iCs/>
          <w:color w:val="000000"/>
          <w:sz w:val="27"/>
          <w:szCs w:val="27"/>
        </w:rPr>
        <w:t>i</w:t>
      </w:r>
      <w:r w:rsidRPr="004F6363">
        <w:rPr>
          <w:rFonts w:ascii="Times New Roman" w:eastAsia="Times New Roman" w:hAnsi="Times New Roman" w:cs="Times New Roman"/>
          <w:color w:val="000000"/>
          <w:sz w:val="27"/>
          <w:szCs w:val="27"/>
        </w:rPr>
        <w:t> cuando posee un valor vocálico.</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4.</w:t>
      </w:r>
      <w:r w:rsidRPr="004F6363">
        <w:rPr>
          <w:rFonts w:ascii="Times New Roman" w:eastAsia="Times New Roman" w:hAnsi="Times New Roman" w:cs="Times New Roman"/>
          <w:color w:val="000000"/>
          <w:sz w:val="27"/>
          <w:szCs w:val="27"/>
        </w:rPr>
        <w:t> Transcribo por </w:t>
      </w:r>
      <w:r w:rsidRPr="004F6363">
        <w:rPr>
          <w:rFonts w:ascii="Times New Roman" w:eastAsia="Times New Roman" w:hAnsi="Times New Roman" w:cs="Times New Roman"/>
          <w:i/>
          <w:iCs/>
          <w:color w:val="000000"/>
          <w:sz w:val="27"/>
          <w:szCs w:val="27"/>
        </w:rPr>
        <w:t>s</w:t>
      </w:r>
      <w:r w:rsidRPr="004F6363">
        <w:rPr>
          <w:rFonts w:ascii="Times New Roman" w:eastAsia="Times New Roman" w:hAnsi="Times New Roman" w:cs="Times New Roman"/>
          <w:color w:val="000000"/>
          <w:sz w:val="27"/>
          <w:szCs w:val="27"/>
        </w:rPr>
        <w:t> </w:t>
      </w:r>
      <w:proofErr w:type="gramStart"/>
      <w:r w:rsidRPr="004F6363">
        <w:rPr>
          <w:rFonts w:ascii="Times New Roman" w:eastAsia="Times New Roman" w:hAnsi="Times New Roman" w:cs="Times New Roman"/>
          <w:color w:val="000000"/>
          <w:sz w:val="27"/>
          <w:szCs w:val="27"/>
        </w:rPr>
        <w:t>la .</w:t>
      </w:r>
      <w:proofErr w:type="gramEnd"/>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5.</w:t>
      </w:r>
      <w:r w:rsidRPr="004F6363">
        <w:rPr>
          <w:rFonts w:ascii="Times New Roman" w:eastAsia="Times New Roman" w:hAnsi="Times New Roman" w:cs="Times New Roman"/>
          <w:color w:val="000000"/>
          <w:sz w:val="27"/>
          <w:szCs w:val="27"/>
        </w:rPr>
        <w:t> Empleo las mayúsculas con criterios ortográficos modernos</w:t>
      </w:r>
      <w:hyperlink r:id="rId15" w:anchor="12" w:tgtFrame="Notas" w:history="1">
        <w:r w:rsidRPr="004F6363">
          <w:rPr>
            <w:rFonts w:ascii="Times New Roman" w:eastAsia="Times New Roman" w:hAnsi="Times New Roman" w:cs="Times New Roman"/>
            <w:color w:val="0000FF"/>
            <w:sz w:val="27"/>
            <w:szCs w:val="27"/>
            <w:u w:val="single"/>
          </w:rPr>
          <w:t>(12)</w:t>
        </w:r>
      </w:hyperlink>
      <w:r w:rsidRPr="004F6363">
        <w:rPr>
          <w:rFonts w:ascii="Times New Roman" w:eastAsia="Times New Roman" w:hAnsi="Times New Roman" w:cs="Times New Roman"/>
          <w:color w:val="000000"/>
          <w:sz w:val="27"/>
          <w:szCs w:val="27"/>
        </w:rPr>
        <w:t>.</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6.</w:t>
      </w:r>
      <w:r w:rsidRPr="004F6363">
        <w:rPr>
          <w:rFonts w:ascii="Times New Roman" w:eastAsia="Times New Roman" w:hAnsi="Times New Roman" w:cs="Times New Roman"/>
          <w:color w:val="000000"/>
          <w:sz w:val="27"/>
          <w:szCs w:val="27"/>
        </w:rPr>
        <w:t> La separación de palabras se realiza, así mismo, en función de criterios ortográficos actuales, a excepción de las contracciones </w:t>
      </w:r>
      <w:proofErr w:type="gramStart"/>
      <w:r w:rsidRPr="004F6363">
        <w:rPr>
          <w:rFonts w:ascii="Times New Roman" w:eastAsia="Times New Roman" w:hAnsi="Times New Roman" w:cs="Times New Roman"/>
          <w:i/>
          <w:iCs/>
          <w:color w:val="000000"/>
          <w:sz w:val="27"/>
          <w:szCs w:val="27"/>
        </w:rPr>
        <w:t>desto</w:t>
      </w:r>
      <w:r w:rsidRPr="004F6363">
        <w:rPr>
          <w:rFonts w:ascii="Times New Roman" w:eastAsia="Times New Roman" w:hAnsi="Times New Roman" w:cs="Times New Roman"/>
          <w:color w:val="000000"/>
          <w:sz w:val="27"/>
          <w:szCs w:val="27"/>
        </w:rPr>
        <w:t> ,</w:t>
      </w:r>
      <w:proofErr w:type="gramEnd"/>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destos</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déstos</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dello</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dellos</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dél</w:t>
      </w:r>
      <w:r w:rsidRPr="004F6363">
        <w:rPr>
          <w:rFonts w:ascii="Times New Roman" w:eastAsia="Times New Roman" w:hAnsi="Times New Roman" w:cs="Times New Roman"/>
          <w:color w:val="000000"/>
          <w:sz w:val="27"/>
          <w:szCs w:val="27"/>
        </w:rPr>
        <w:t> (= </w:t>
      </w:r>
      <w:r w:rsidRPr="004F6363">
        <w:rPr>
          <w:rFonts w:ascii="Times New Roman" w:eastAsia="Times New Roman" w:hAnsi="Times New Roman" w:cs="Times New Roman"/>
          <w:i/>
          <w:iCs/>
          <w:color w:val="000000"/>
          <w:sz w:val="27"/>
          <w:szCs w:val="27"/>
        </w:rPr>
        <w:t>de él</w:t>
      </w:r>
      <w:r w:rsidRPr="004F6363">
        <w:rPr>
          <w:rFonts w:ascii="Times New Roman" w:eastAsia="Times New Roman" w:hAnsi="Times New Roman" w:cs="Times New Roman"/>
          <w:color w:val="000000"/>
          <w:sz w:val="27"/>
          <w:szCs w:val="27"/>
        </w:rPr>
        <w:t>), que conservo, acentuando esta última para distinguirla de la contracción de la preposición y el artículo determinado.</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7.</w:t>
      </w:r>
      <w:r w:rsidRPr="004F6363">
        <w:rPr>
          <w:rFonts w:ascii="Times New Roman" w:eastAsia="Times New Roman" w:hAnsi="Times New Roman" w:cs="Times New Roman"/>
          <w:color w:val="000000"/>
          <w:sz w:val="27"/>
          <w:szCs w:val="27"/>
        </w:rPr>
        <w:t> Modernizo la acentuación del texto. De otro lado, acentúo los pronombres personales apocopados en función de sujeto </w:t>
      </w:r>
      <w:r w:rsidRPr="004F6363">
        <w:rPr>
          <w:rFonts w:ascii="Times New Roman" w:eastAsia="Times New Roman" w:hAnsi="Times New Roman" w:cs="Times New Roman"/>
          <w:i/>
          <w:iCs/>
          <w:color w:val="000000"/>
          <w:sz w:val="27"/>
          <w:szCs w:val="27"/>
        </w:rPr>
        <w:t>nós</w:t>
      </w:r>
      <w:r w:rsidRPr="004F6363">
        <w:rPr>
          <w:rFonts w:ascii="Times New Roman" w:eastAsia="Times New Roman" w:hAnsi="Times New Roman" w:cs="Times New Roman"/>
          <w:color w:val="000000"/>
          <w:sz w:val="27"/>
          <w:szCs w:val="27"/>
        </w:rPr>
        <w:t> y </w:t>
      </w:r>
      <w:r w:rsidRPr="004F6363">
        <w:rPr>
          <w:rFonts w:ascii="Times New Roman" w:eastAsia="Times New Roman" w:hAnsi="Times New Roman" w:cs="Times New Roman"/>
          <w:i/>
          <w:iCs/>
          <w:color w:val="000000"/>
          <w:sz w:val="27"/>
          <w:szCs w:val="27"/>
        </w:rPr>
        <w:t>vós</w:t>
      </w:r>
      <w:r w:rsidRPr="004F6363">
        <w:rPr>
          <w:rFonts w:ascii="Times New Roman" w:eastAsia="Times New Roman" w:hAnsi="Times New Roman" w:cs="Times New Roman"/>
          <w:color w:val="000000"/>
          <w:sz w:val="27"/>
          <w:szCs w:val="27"/>
        </w:rPr>
        <w:t> para distinguirlos de los pronombres en función de complemento.</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8.</w:t>
      </w:r>
      <w:r w:rsidRPr="004F6363">
        <w:rPr>
          <w:rFonts w:ascii="Times New Roman" w:eastAsia="Times New Roman" w:hAnsi="Times New Roman" w:cs="Times New Roman"/>
          <w:color w:val="000000"/>
          <w:sz w:val="27"/>
          <w:szCs w:val="27"/>
        </w:rPr>
        <w:t> Modernizo la puntuación.</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9.</w:t>
      </w:r>
      <w:r w:rsidRPr="004F6363">
        <w:rPr>
          <w:rFonts w:ascii="Times New Roman" w:eastAsia="Times New Roman" w:hAnsi="Times New Roman" w:cs="Times New Roman"/>
          <w:color w:val="000000"/>
          <w:sz w:val="27"/>
          <w:szCs w:val="27"/>
        </w:rPr>
        <w:t> Subrayo los títulos de las obras citadas por Alonso de Villegas, aunque en el texto no contengan marca tipográfica alguna.</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10.</w:t>
      </w:r>
      <w:r w:rsidRPr="004F6363">
        <w:rPr>
          <w:rFonts w:ascii="Times New Roman" w:eastAsia="Times New Roman" w:hAnsi="Times New Roman" w:cs="Times New Roman"/>
          <w:color w:val="000000"/>
          <w:sz w:val="27"/>
          <w:szCs w:val="27"/>
        </w:rPr>
        <w:t> Resuelvo sin indicación las abreviaturas, incluidas </w:t>
      </w:r>
      <w:r w:rsidRPr="004F6363">
        <w:rPr>
          <w:rFonts w:ascii="Times New Roman" w:eastAsia="Times New Roman" w:hAnsi="Times New Roman" w:cs="Times New Roman"/>
          <w:i/>
          <w:iCs/>
          <w:color w:val="000000"/>
          <w:sz w:val="27"/>
          <w:szCs w:val="27"/>
        </w:rPr>
        <w:t>S.</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San</w:t>
      </w:r>
      <w:r w:rsidRPr="004F6363">
        <w:rPr>
          <w:rFonts w:ascii="Times New Roman" w:eastAsia="Times New Roman" w:hAnsi="Times New Roman" w:cs="Times New Roman"/>
          <w:color w:val="000000"/>
          <w:sz w:val="27"/>
          <w:szCs w:val="27"/>
        </w:rPr>
        <w:t>) y </w:t>
      </w:r>
      <w:r w:rsidRPr="004F6363">
        <w:rPr>
          <w:rFonts w:ascii="Times New Roman" w:eastAsia="Times New Roman" w:hAnsi="Times New Roman" w:cs="Times New Roman"/>
          <w:i/>
          <w:iCs/>
          <w:color w:val="000000"/>
          <w:sz w:val="27"/>
          <w:szCs w:val="27"/>
        </w:rPr>
        <w:t>Cap.</w:t>
      </w:r>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Capítulo</w:t>
      </w:r>
      <w:r w:rsidRPr="004F6363">
        <w:rPr>
          <w:rFonts w:ascii="Times New Roman" w:eastAsia="Times New Roman" w:hAnsi="Times New Roman" w:cs="Times New Roman"/>
          <w:color w:val="000000"/>
          <w:sz w:val="27"/>
          <w:szCs w:val="27"/>
        </w:rPr>
        <w:t>).</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11.</w:t>
      </w:r>
      <w:r w:rsidRPr="004F6363">
        <w:rPr>
          <w:rFonts w:ascii="Times New Roman" w:eastAsia="Times New Roman" w:hAnsi="Times New Roman" w:cs="Times New Roman"/>
          <w:color w:val="000000"/>
          <w:sz w:val="27"/>
          <w:szCs w:val="27"/>
        </w:rPr>
        <w:t> Corrijo las erratas evidentes en la edición manejada (=</w:t>
      </w:r>
      <w:r w:rsidRPr="004F6363">
        <w:rPr>
          <w:rFonts w:ascii="Times New Roman" w:eastAsia="Times New Roman" w:hAnsi="Times New Roman" w:cs="Times New Roman"/>
          <w:i/>
          <w:iCs/>
          <w:color w:val="000000"/>
          <w:sz w:val="27"/>
          <w:szCs w:val="27"/>
        </w:rPr>
        <w:t> C</w:t>
      </w:r>
      <w:r w:rsidRPr="004F6363">
        <w:rPr>
          <w:rFonts w:ascii="Times New Roman" w:eastAsia="Times New Roman" w:hAnsi="Times New Roman" w:cs="Times New Roman"/>
          <w:color w:val="000000"/>
          <w:sz w:val="27"/>
          <w:szCs w:val="27"/>
        </w:rPr>
        <w:t>), sin indicación alguna, pero respeto los casos dudosos.</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12.</w:t>
      </w:r>
      <w:r w:rsidRPr="004F6363">
        <w:rPr>
          <w:rFonts w:ascii="Times New Roman" w:eastAsia="Times New Roman" w:hAnsi="Times New Roman" w:cs="Times New Roman"/>
          <w:color w:val="000000"/>
          <w:sz w:val="27"/>
          <w:szCs w:val="27"/>
        </w:rPr>
        <w:t> Incluyo el título del capítulo o discurso en el inicio de cada serie de narraciones (aunque éste no figure en el texto) y añado al frente de los tres apartados en que aquéllos se dividen la indicación correspondiente (</w:t>
      </w:r>
      <w:r w:rsidRPr="004F6363">
        <w:rPr>
          <w:rFonts w:ascii="Times New Roman" w:eastAsia="Times New Roman" w:hAnsi="Times New Roman" w:cs="Times New Roman"/>
          <w:i/>
          <w:iCs/>
          <w:color w:val="000000"/>
          <w:sz w:val="27"/>
          <w:szCs w:val="27"/>
        </w:rPr>
        <w:t xml:space="preserve">Ejemplos de las Sagradas </w:t>
      </w:r>
      <w:proofErr w:type="gramStart"/>
      <w:r w:rsidRPr="004F6363">
        <w:rPr>
          <w:rFonts w:ascii="Times New Roman" w:eastAsia="Times New Roman" w:hAnsi="Times New Roman" w:cs="Times New Roman"/>
          <w:i/>
          <w:iCs/>
          <w:color w:val="000000"/>
          <w:sz w:val="27"/>
          <w:szCs w:val="27"/>
        </w:rPr>
        <w:t>Escrituras</w:t>
      </w:r>
      <w:r w:rsidRPr="004F6363">
        <w:rPr>
          <w:rFonts w:ascii="Times New Roman" w:eastAsia="Times New Roman" w:hAnsi="Times New Roman" w:cs="Times New Roman"/>
          <w:color w:val="000000"/>
          <w:sz w:val="27"/>
          <w:szCs w:val="27"/>
        </w:rPr>
        <w:t> ,</w:t>
      </w:r>
      <w:proofErr w:type="gramEnd"/>
      <w:r w:rsidRPr="004F6363">
        <w:rPr>
          <w:rFonts w:ascii="Times New Roman" w:eastAsia="Times New Roman" w:hAnsi="Times New Roman" w:cs="Times New Roman"/>
          <w:color w:val="000000"/>
          <w:sz w:val="27"/>
          <w:szCs w:val="27"/>
        </w:rPr>
        <w:t> </w:t>
      </w:r>
      <w:r w:rsidRPr="004F6363">
        <w:rPr>
          <w:rFonts w:ascii="Times New Roman" w:eastAsia="Times New Roman" w:hAnsi="Times New Roman" w:cs="Times New Roman"/>
          <w:i/>
          <w:iCs/>
          <w:color w:val="000000"/>
          <w:sz w:val="27"/>
          <w:szCs w:val="27"/>
        </w:rPr>
        <w:t>Ejemplos cristianos</w:t>
      </w:r>
      <w:r w:rsidRPr="004F6363">
        <w:rPr>
          <w:rFonts w:ascii="Times New Roman" w:eastAsia="Times New Roman" w:hAnsi="Times New Roman" w:cs="Times New Roman"/>
          <w:color w:val="000000"/>
          <w:sz w:val="27"/>
          <w:szCs w:val="27"/>
        </w:rPr>
        <w:t> y </w:t>
      </w:r>
      <w:r w:rsidRPr="004F6363">
        <w:rPr>
          <w:rFonts w:ascii="Times New Roman" w:eastAsia="Times New Roman" w:hAnsi="Times New Roman" w:cs="Times New Roman"/>
          <w:i/>
          <w:iCs/>
          <w:color w:val="000000"/>
          <w:sz w:val="27"/>
          <w:szCs w:val="27"/>
        </w:rPr>
        <w:t xml:space="preserve">«Exemplos </w:t>
      </w:r>
      <w:r w:rsidRPr="004F6363">
        <w:rPr>
          <w:rFonts w:ascii="Times New Roman" w:eastAsia="Times New Roman" w:hAnsi="Times New Roman" w:cs="Times New Roman"/>
          <w:i/>
          <w:iCs/>
          <w:color w:val="000000"/>
          <w:sz w:val="27"/>
          <w:szCs w:val="27"/>
        </w:rPr>
        <w:lastRenderedPageBreak/>
        <w:t>extrangeros»</w:t>
      </w:r>
      <w:r w:rsidRPr="004F6363">
        <w:rPr>
          <w:rFonts w:ascii="Times New Roman" w:eastAsia="Times New Roman" w:hAnsi="Times New Roman" w:cs="Times New Roman"/>
          <w:color w:val="000000"/>
          <w:sz w:val="27"/>
          <w:szCs w:val="27"/>
        </w:rPr>
        <w:t> , este último epígrafe incluido por Villegas invariablemente en el texto). Sitúo al fren te de cada </w:t>
      </w:r>
      <w:r w:rsidRPr="004F6363">
        <w:rPr>
          <w:rFonts w:ascii="Times New Roman" w:eastAsia="Times New Roman" w:hAnsi="Times New Roman" w:cs="Times New Roman"/>
          <w:i/>
          <w:iCs/>
          <w:color w:val="000000"/>
          <w:sz w:val="27"/>
          <w:szCs w:val="27"/>
        </w:rPr>
        <w:t>exemplum</w:t>
      </w:r>
      <w:r w:rsidRPr="004F6363">
        <w:rPr>
          <w:rFonts w:ascii="Times New Roman" w:eastAsia="Times New Roman" w:hAnsi="Times New Roman" w:cs="Times New Roman"/>
          <w:color w:val="000000"/>
          <w:sz w:val="27"/>
          <w:szCs w:val="27"/>
        </w:rPr>
        <w:t> un número que indica su posición en el conjunto del apartado corres pondiente.</w:t>
      </w:r>
    </w:p>
    <w:p w:rsidR="004F6363" w:rsidRPr="004F6363" w:rsidRDefault="004F6363" w:rsidP="004F6363">
      <w:pPr>
        <w:spacing w:before="100" w:beforeAutospacing="1" w:after="100" w:afterAutospacing="1" w:line="240" w:lineRule="auto"/>
        <w:ind w:left="720"/>
        <w:rPr>
          <w:rFonts w:ascii="Times New Roman" w:eastAsia="Times New Roman" w:hAnsi="Times New Roman" w:cs="Times New Roman"/>
          <w:color w:val="000000"/>
          <w:sz w:val="27"/>
          <w:szCs w:val="27"/>
        </w:rPr>
      </w:pPr>
      <w:r w:rsidRPr="004F6363">
        <w:rPr>
          <w:rFonts w:ascii="Times New Roman" w:eastAsia="Times New Roman" w:hAnsi="Times New Roman" w:cs="Times New Roman"/>
          <w:b/>
          <w:bCs/>
          <w:color w:val="000000"/>
          <w:sz w:val="27"/>
          <w:szCs w:val="27"/>
        </w:rPr>
        <w:t>13.</w:t>
      </w:r>
      <w:r w:rsidRPr="004F6363">
        <w:rPr>
          <w:rFonts w:ascii="Times New Roman" w:eastAsia="Times New Roman" w:hAnsi="Times New Roman" w:cs="Times New Roman"/>
          <w:color w:val="000000"/>
          <w:sz w:val="27"/>
          <w:szCs w:val="27"/>
        </w:rPr>
        <w:t> Registro el cambio de folio y el cambio de columna en la edición de Cuenca, 1594 (mediante </w:t>
      </w:r>
      <w:r w:rsidRPr="004F6363">
        <w:rPr>
          <w:rFonts w:ascii="Times New Roman" w:eastAsia="Times New Roman" w:hAnsi="Times New Roman" w:cs="Times New Roman"/>
          <w:b/>
          <w:bCs/>
          <w:color w:val="000000"/>
          <w:sz w:val="27"/>
          <w:szCs w:val="27"/>
        </w:rPr>
        <w:t>/ </w:t>
      </w:r>
      <w:r w:rsidRPr="004F6363">
        <w:rPr>
          <w:rFonts w:ascii="Times New Roman" w:eastAsia="Times New Roman" w:hAnsi="Times New Roman" w:cs="Times New Roman"/>
          <w:color w:val="000000"/>
          <w:sz w:val="27"/>
          <w:szCs w:val="27"/>
        </w:rPr>
        <w:t>y </w:t>
      </w:r>
      <w:r w:rsidRPr="004F6363">
        <w:rPr>
          <w:rFonts w:ascii="Times New Roman" w:eastAsia="Times New Roman" w:hAnsi="Times New Roman" w:cs="Times New Roman"/>
          <w:b/>
          <w:bCs/>
          <w:color w:val="000000"/>
          <w:sz w:val="27"/>
          <w:szCs w:val="27"/>
        </w:rPr>
        <w:t>| </w:t>
      </w:r>
      <w:r w:rsidRPr="004F6363">
        <w:rPr>
          <w:rFonts w:ascii="Times New Roman" w:eastAsia="Times New Roman" w:hAnsi="Times New Roman" w:cs="Times New Roman"/>
          <w:color w:val="000000"/>
          <w:sz w:val="27"/>
          <w:szCs w:val="27"/>
        </w:rPr>
        <w:t>respectivamente) y añado la foliación adecuada del texto cuando ésta está equivocada. En este último caso coloco la numeración correcta entre paréntesis e incluyo en nota la propuesta en la mencionada edición. La numeración se reinicia en esta última tras el folio 438.</w:t>
      </w:r>
      <w:bookmarkStart w:id="0" w:name="_GoBack"/>
      <w:bookmarkEnd w:id="0"/>
      <w:r w:rsidRPr="004F6363">
        <w:rPr>
          <w:rFonts w:ascii="Times New Roman" w:eastAsia="Times New Roman" w:hAnsi="Times New Roman" w:cs="Times New Roman"/>
          <w:color w:val="000000"/>
          <w:sz w:val="27"/>
          <w:szCs w:val="27"/>
        </w:rPr>
        <w:t xml:space="preserve"> A partir del mismo sitúo entre paréntesis el número que correspondería al folio en caso de respetarse la numeración inicial, indicando de nuevo en nota la numeración propuesta en la edición conquense (así el folio 1 de esta segunda serie se indica con el número 439 entre paréntesis, y se advierte a pie de página del inicio de la nueva numeración en el ejemplar consultado).</w:t>
      </w:r>
    </w:p>
    <w:p w:rsidR="00D466F1" w:rsidRDefault="00D466F1"/>
    <w:sectPr w:rsidR="00D466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63"/>
    <w:rsid w:val="004F6363"/>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7D2C1-5D3F-4843-A9A8-640C4182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naseo.uv.es/Lemir/Textos/Flos/Notas.html" TargetMode="External"/><Relationship Id="rId13" Type="http://schemas.openxmlformats.org/officeDocument/2006/relationships/hyperlink" Target="http://parnaseo.uv.es/Lemir/Textos/Flos/Notas.html" TargetMode="External"/><Relationship Id="rId3" Type="http://schemas.openxmlformats.org/officeDocument/2006/relationships/webSettings" Target="webSettings.xml"/><Relationship Id="rId7" Type="http://schemas.openxmlformats.org/officeDocument/2006/relationships/hyperlink" Target="http://parnaseo.uv.es/Lemir/Textos/Flos/Notas.html" TargetMode="External"/><Relationship Id="rId12" Type="http://schemas.openxmlformats.org/officeDocument/2006/relationships/hyperlink" Target="http://parnaseo.uv.es/Lemir/Textos/Flos/Nota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arnaseo.uv.es/Lemir/Textos/Flos/Notas.html" TargetMode="External"/><Relationship Id="rId11" Type="http://schemas.openxmlformats.org/officeDocument/2006/relationships/hyperlink" Target="http://parnaseo.uv.es/Lemir/Textos/Flos/Notas.html" TargetMode="External"/><Relationship Id="rId5" Type="http://schemas.openxmlformats.org/officeDocument/2006/relationships/hyperlink" Target="http://parnaseo.uv.es/Lemir/Textos/Flos/Notas.html" TargetMode="External"/><Relationship Id="rId15" Type="http://schemas.openxmlformats.org/officeDocument/2006/relationships/hyperlink" Target="http://parnaseo.uv.es/Lemir/Textos/Flos/Notas.html" TargetMode="External"/><Relationship Id="rId10" Type="http://schemas.openxmlformats.org/officeDocument/2006/relationships/hyperlink" Target="http://parnaseo.uv.es/Lemir/Textos/Flos/Notas.html" TargetMode="External"/><Relationship Id="rId4" Type="http://schemas.openxmlformats.org/officeDocument/2006/relationships/hyperlink" Target="http://parnaseo.uv.es/Lemir/Textos/Flos/Notas.html" TargetMode="External"/><Relationship Id="rId9" Type="http://schemas.openxmlformats.org/officeDocument/2006/relationships/hyperlink" Target="http://parnaseo.uv.es/Lemir/Textos/Flos/Notas.html" TargetMode="External"/><Relationship Id="rId14" Type="http://schemas.openxmlformats.org/officeDocument/2006/relationships/hyperlink" Target="http://parnaseo.uv.es/Lemir/Textos/Flos/No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1323</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2018-01-30T14:22:00Z</dcterms:created>
  <dcterms:modified xsi:type="dcterms:W3CDTF">2018-01-30T14:27:00Z</dcterms:modified>
</cp:coreProperties>
</file>